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DA1" w:rsidP="00347DA1" w:rsidRDefault="00347DA1">
      <w:pPr>
        <w:jc w:val="center"/>
        <w:rPr>
          <w:b/>
          <w:sz w:val="28"/>
          <w:szCs w:val="28"/>
          <w:u w:val="single"/>
        </w:rPr>
      </w:pPr>
      <w:r>
        <w:rPr>
          <w:b/>
          <w:noProof/>
          <w:sz w:val="28"/>
          <w:szCs w:val="28"/>
          <w:u w:val="single"/>
        </w:rPr>
        <w:drawing>
          <wp:anchor distT="0" distB="0" distL="114300" distR="114300" simplePos="0" relativeHeight="251659264" behindDoc="1" locked="0" layoutInCell="0" allowOverlap="1">
            <wp:simplePos x="0" y="0"/>
            <wp:positionH relativeFrom="page">
              <wp:posOffset>2971800</wp:posOffset>
            </wp:positionH>
            <wp:positionV relativeFrom="page">
              <wp:posOffset>201930</wp:posOffset>
            </wp:positionV>
            <wp:extent cx="1600200" cy="758190"/>
            <wp:effectExtent l="0" t="0" r="0" b="3810"/>
            <wp:wrapNone/>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L-AtrnyLaw_Logo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758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7DA1" w:rsidP="00347DA1" w:rsidRDefault="00347DA1">
      <w:pPr>
        <w:jc w:val="center"/>
        <w:rPr>
          <w:b/>
          <w:sz w:val="28"/>
          <w:szCs w:val="28"/>
          <w:u w:val="single"/>
        </w:rPr>
      </w:pPr>
    </w:p>
    <w:p w:rsidRPr="005854BF" w:rsidR="00347DA1" w:rsidP="00347DA1" w:rsidRDefault="00347DA1">
      <w:pPr>
        <w:jc w:val="center"/>
        <w:rPr>
          <w:rFonts w:ascii="Times New Roman Bold" w:hAnsi="Times New Roman Bold" w:cs="Times New Roman Bold"/>
          <w:b/>
          <w:sz w:val="22"/>
          <w:szCs w:val="22"/>
          <w:u w:val="single"/>
        </w:rPr>
      </w:pPr>
      <w:r w:rsidRPr="005854BF">
        <w:rPr>
          <w:rFonts w:ascii="Times New Roman Bold" w:hAnsi="Times New Roman Bold" w:cs="Times New Roman Bold"/>
          <w:b/>
          <w:sz w:val="22"/>
          <w:szCs w:val="22"/>
          <w:u w:val="single"/>
        </w:rPr>
        <w:t>HRMA-PRINCETON LEGISLATIVE/LEGAL UPDATE</w:t>
      </w:r>
    </w:p>
    <w:p w:rsidRPr="005854BF" w:rsidR="00347DA1" w:rsidP="00347DA1" w:rsidRDefault="0095565F">
      <w:pPr>
        <w:jc w:val="center"/>
        <w:rPr>
          <w:b/>
          <w:sz w:val="22"/>
          <w:szCs w:val="22"/>
        </w:rPr>
      </w:pPr>
      <w:r>
        <w:rPr>
          <w:rFonts w:ascii="Times New Roman Bold" w:hAnsi="Times New Roman Bold" w:cs="Times New Roman Bold"/>
          <w:b/>
          <w:sz w:val="22"/>
          <w:szCs w:val="22"/>
        </w:rPr>
        <w:t>June 12</w:t>
      </w:r>
      <w:r w:rsidRPr="005854BF" w:rsidR="00347DA1">
        <w:rPr>
          <w:rFonts w:ascii="Times New Roman Bold" w:hAnsi="Times New Roman Bold" w:cs="Times New Roman Bold"/>
          <w:b/>
          <w:sz w:val="22"/>
          <w:szCs w:val="22"/>
        </w:rPr>
        <w:t>, 2017</w:t>
      </w:r>
    </w:p>
    <w:p w:rsidRPr="005854BF" w:rsidR="00347DA1" w:rsidP="00347DA1" w:rsidRDefault="00347DA1">
      <w:pPr>
        <w:rPr>
          <w:b/>
          <w:sz w:val="22"/>
          <w:szCs w:val="22"/>
        </w:rPr>
      </w:pPr>
      <w:r w:rsidRPr="005854BF">
        <w:rPr>
          <w:b/>
          <w:sz w:val="22"/>
          <w:szCs w:val="22"/>
        </w:rPr>
        <w:t>Ian W. Siminoff, Esq.</w:t>
      </w:r>
    </w:p>
    <w:p w:rsidRPr="005854BF" w:rsidR="00347DA1" w:rsidP="00347DA1" w:rsidRDefault="00347DA1">
      <w:pPr>
        <w:rPr>
          <w:b/>
          <w:color w:val="00B050"/>
          <w:sz w:val="22"/>
          <w:szCs w:val="22"/>
        </w:rPr>
      </w:pPr>
      <w:r w:rsidRPr="005854BF">
        <w:rPr>
          <w:b/>
          <w:color w:val="00B050"/>
          <w:sz w:val="22"/>
          <w:szCs w:val="22"/>
        </w:rPr>
        <w:t>FOX ROTHSCHILD LLP</w:t>
      </w:r>
    </w:p>
    <w:p w:rsidRPr="005854BF" w:rsidR="00347DA1" w:rsidP="00347DA1" w:rsidRDefault="00347DA1">
      <w:pPr>
        <w:rPr>
          <w:b/>
          <w:sz w:val="22"/>
          <w:szCs w:val="22"/>
        </w:rPr>
      </w:pPr>
      <w:r w:rsidRPr="005854BF">
        <w:rPr>
          <w:b/>
          <w:sz w:val="22"/>
          <w:szCs w:val="22"/>
        </w:rPr>
        <w:t xml:space="preserve"> (973) 994-7507 [direct dial]</w:t>
      </w:r>
    </w:p>
    <w:p w:rsidRPr="005854BF" w:rsidR="00347DA1" w:rsidP="00347DA1" w:rsidRDefault="00CE48B1">
      <w:pPr>
        <w:rPr>
          <w:rFonts w:ascii="Times New Roman Bold" w:hAnsi="Times New Roman Bold"/>
          <w:b/>
          <w:color w:val="00B050"/>
          <w:sz w:val="22"/>
          <w:szCs w:val="22"/>
        </w:rPr>
      </w:pPr>
      <w:hyperlink w:history="1" r:id="rId7">
        <w:r w:rsidRPr="005854BF" w:rsidR="00347DA1">
          <w:rPr>
            <w:rStyle w:val="Hyperlink"/>
            <w:rFonts w:ascii="Times New Roman Bold" w:hAnsi="Times New Roman Bold"/>
            <w:b/>
            <w:color w:val="00B050"/>
            <w:sz w:val="22"/>
            <w:szCs w:val="22"/>
          </w:rPr>
          <w:t>isiminoff@foxrothschild.com</w:t>
        </w:r>
      </w:hyperlink>
    </w:p>
    <w:p w:rsidRPr="005854BF" w:rsidR="00DA4C2E" w:rsidRDefault="00DA4C2E">
      <w:pPr>
        <w:rPr>
          <w:sz w:val="22"/>
          <w:szCs w:val="22"/>
        </w:rPr>
      </w:pPr>
    </w:p>
    <w:p w:rsidRPr="00F9127F" w:rsidR="00D80790" w:rsidRDefault="00D80790">
      <w:pPr>
        <w:rPr>
          <w:b/>
          <w:i/>
          <w:sz w:val="22"/>
          <w:szCs w:val="22"/>
        </w:rPr>
      </w:pPr>
      <w:r w:rsidRPr="00F9127F">
        <w:rPr>
          <w:b/>
          <w:i/>
          <w:sz w:val="22"/>
          <w:szCs w:val="22"/>
          <w:u w:val="single"/>
        </w:rPr>
        <w:t>Marrin v. Capital Health Systems, Inc.</w:t>
      </w:r>
      <w:r w:rsidRPr="00F9127F">
        <w:rPr>
          <w:b/>
          <w:sz w:val="22"/>
          <w:szCs w:val="22"/>
        </w:rPr>
        <w:t xml:space="preserve">, </w:t>
      </w:r>
      <w:r w:rsidRPr="00F9127F">
        <w:rPr>
          <w:b/>
          <w:i/>
          <w:sz w:val="22"/>
          <w:szCs w:val="22"/>
        </w:rPr>
        <w:t>2017 WL 2369910 (D.N.J. 5/31/17)</w:t>
      </w:r>
    </w:p>
    <w:p w:rsidRPr="00F9127F" w:rsidR="00D80790" w:rsidRDefault="00D80790">
      <w:pPr>
        <w:rPr>
          <w:b/>
          <w:i/>
          <w:sz w:val="22"/>
          <w:szCs w:val="22"/>
        </w:rPr>
      </w:pPr>
    </w:p>
    <w:p w:rsidRPr="00F9127F" w:rsidR="002815F9" w:rsidRDefault="00C224EB">
      <w:pPr>
        <w:rPr>
          <w:sz w:val="22"/>
          <w:szCs w:val="22"/>
        </w:rPr>
      </w:pPr>
      <w:r w:rsidRPr="00F9127F">
        <w:rPr>
          <w:b/>
          <w:sz w:val="22"/>
          <w:szCs w:val="22"/>
          <w:u w:val="single"/>
        </w:rPr>
        <w:t>Facts.</w:t>
      </w:r>
      <w:r w:rsidRPr="00F9127F">
        <w:rPr>
          <w:sz w:val="22"/>
          <w:szCs w:val="22"/>
        </w:rPr>
        <w:t xml:space="preserve">  </w:t>
      </w:r>
      <w:r w:rsidRPr="00F9127F" w:rsidR="002815F9">
        <w:rPr>
          <w:sz w:val="22"/>
          <w:szCs w:val="22"/>
        </w:rPr>
        <w:t xml:space="preserve">Defendant hired Plaintiff as a medical laboratory technician (“lab tech”) to work in Defendant’s microbiology lab in November 2005. </w:t>
      </w:r>
      <w:r w:rsidRPr="00F9127F" w:rsidR="009B48BA">
        <w:rPr>
          <w:sz w:val="22"/>
          <w:szCs w:val="22"/>
        </w:rPr>
        <w:t xml:space="preserve">Following the hiring of a new lab director on December 10, 2012, Plaintiff began receiving multiple disciplinary actions. Following a dispute with a coworker on January 16, 2013, </w:t>
      </w:r>
      <w:r w:rsidRPr="00F9127F" w:rsidR="00056143">
        <w:rPr>
          <w:sz w:val="22"/>
          <w:szCs w:val="22"/>
        </w:rPr>
        <w:t>Plaintiff was issued</w:t>
      </w:r>
      <w:r w:rsidRPr="00F9127F" w:rsidR="002815F9">
        <w:rPr>
          <w:sz w:val="22"/>
          <w:szCs w:val="22"/>
        </w:rPr>
        <w:t xml:space="preserve"> </w:t>
      </w:r>
      <w:r w:rsidRPr="00F9127F" w:rsidR="00056143">
        <w:rPr>
          <w:sz w:val="22"/>
          <w:szCs w:val="22"/>
        </w:rPr>
        <w:t>a</w:t>
      </w:r>
      <w:r w:rsidRPr="00F9127F" w:rsidR="002815F9">
        <w:rPr>
          <w:sz w:val="22"/>
          <w:szCs w:val="22"/>
        </w:rPr>
        <w:t xml:space="preserve"> written warning for “inappropriate behavior toward a </w:t>
      </w:r>
      <w:r w:rsidRPr="00F9127F" w:rsidR="001D3C5E">
        <w:rPr>
          <w:sz w:val="22"/>
          <w:szCs w:val="22"/>
        </w:rPr>
        <w:t>co</w:t>
      </w:r>
      <w:r w:rsidRPr="00F9127F" w:rsidR="00056143">
        <w:rPr>
          <w:sz w:val="22"/>
          <w:szCs w:val="22"/>
        </w:rPr>
        <w:t>w</w:t>
      </w:r>
      <w:r w:rsidRPr="00F9127F" w:rsidR="002815F9">
        <w:rPr>
          <w:sz w:val="22"/>
          <w:szCs w:val="22"/>
        </w:rPr>
        <w:t>orker and job abandonment</w:t>
      </w:r>
      <w:r w:rsidRPr="00F9127F" w:rsidR="00056143">
        <w:rPr>
          <w:sz w:val="22"/>
          <w:szCs w:val="22"/>
        </w:rPr>
        <w:t>.”</w:t>
      </w:r>
      <w:r w:rsidRPr="00F9127F" w:rsidR="002815F9">
        <w:rPr>
          <w:sz w:val="22"/>
          <w:szCs w:val="22"/>
        </w:rPr>
        <w:t xml:space="preserve"> </w:t>
      </w:r>
      <w:r w:rsidRPr="00F9127F" w:rsidR="0095565F">
        <w:rPr>
          <w:sz w:val="22"/>
          <w:szCs w:val="22"/>
        </w:rPr>
        <w:t xml:space="preserve"> </w:t>
      </w:r>
      <w:r w:rsidRPr="00F9127F" w:rsidR="002815F9">
        <w:rPr>
          <w:sz w:val="22"/>
          <w:szCs w:val="22"/>
        </w:rPr>
        <w:t xml:space="preserve">On February 4 and 6, 2013, Plaintiff called out of work by leaving a message regarding her absence on her direct supervisor’s office voicemail. However, calling out by leaving a voicemail violated the call out </w:t>
      </w:r>
      <w:r w:rsidRPr="00F9127F" w:rsidR="00056143">
        <w:rPr>
          <w:sz w:val="22"/>
          <w:szCs w:val="22"/>
        </w:rPr>
        <w:t>policy</w:t>
      </w:r>
      <w:r w:rsidRPr="00F9127F" w:rsidR="002815F9">
        <w:rPr>
          <w:sz w:val="22"/>
          <w:szCs w:val="22"/>
        </w:rPr>
        <w:t xml:space="preserve">, which required direct communication with the tech-in-charge of the lab or a supervisor. </w:t>
      </w:r>
      <w:r w:rsidRPr="00F9127F">
        <w:rPr>
          <w:sz w:val="22"/>
          <w:szCs w:val="22"/>
        </w:rPr>
        <w:t xml:space="preserve"> </w:t>
      </w:r>
      <w:r w:rsidRPr="00F9127F" w:rsidR="002815F9">
        <w:rPr>
          <w:sz w:val="22"/>
          <w:szCs w:val="22"/>
        </w:rPr>
        <w:t xml:space="preserve">Thus, on February 12, 2013, Plaintiff’s direct supervisor issued a final written warning for the call out policy </w:t>
      </w:r>
      <w:r w:rsidRPr="00F9127F" w:rsidR="00056143">
        <w:rPr>
          <w:sz w:val="22"/>
          <w:szCs w:val="22"/>
        </w:rPr>
        <w:t>violation.</w:t>
      </w:r>
    </w:p>
    <w:p w:rsidRPr="00F9127F" w:rsidR="00D820B2" w:rsidRDefault="00D820B2">
      <w:pPr>
        <w:rPr>
          <w:sz w:val="22"/>
          <w:szCs w:val="22"/>
        </w:rPr>
      </w:pPr>
    </w:p>
    <w:p w:rsidRPr="00F9127F" w:rsidR="002815F9" w:rsidRDefault="002815F9">
      <w:pPr>
        <w:rPr>
          <w:sz w:val="22"/>
          <w:szCs w:val="22"/>
        </w:rPr>
      </w:pPr>
      <w:r w:rsidRPr="00F9127F">
        <w:rPr>
          <w:sz w:val="22"/>
          <w:szCs w:val="22"/>
        </w:rPr>
        <w:t xml:space="preserve">Plaintiff then met with the </w:t>
      </w:r>
      <w:r w:rsidRPr="00F9127F" w:rsidR="00056143">
        <w:rPr>
          <w:sz w:val="22"/>
          <w:szCs w:val="22"/>
        </w:rPr>
        <w:t>Human Resources (“HR”)</w:t>
      </w:r>
      <w:r w:rsidRPr="00F9127F">
        <w:rPr>
          <w:sz w:val="22"/>
          <w:szCs w:val="22"/>
        </w:rPr>
        <w:t xml:space="preserve"> Director on February 18, 2013</w:t>
      </w:r>
      <w:r w:rsidRPr="00F9127F" w:rsidR="0095565F">
        <w:rPr>
          <w:sz w:val="22"/>
          <w:szCs w:val="22"/>
        </w:rPr>
        <w:t>,</w:t>
      </w:r>
      <w:r w:rsidRPr="00F9127F">
        <w:rPr>
          <w:sz w:val="22"/>
          <w:szCs w:val="22"/>
        </w:rPr>
        <w:t xml:space="preserve"> and complained about alleged deficiencies in the microbiology lab, and her last two disciplinary actions, which she claimed were unwarranted. </w:t>
      </w:r>
      <w:r w:rsidRPr="00F9127F" w:rsidR="0095565F">
        <w:rPr>
          <w:sz w:val="22"/>
          <w:szCs w:val="22"/>
        </w:rPr>
        <w:t xml:space="preserve"> </w:t>
      </w:r>
      <w:r w:rsidRPr="00F9127F" w:rsidR="00056143">
        <w:rPr>
          <w:sz w:val="22"/>
          <w:szCs w:val="22"/>
        </w:rPr>
        <w:t>HR</w:t>
      </w:r>
      <w:r w:rsidRPr="00F9127F">
        <w:rPr>
          <w:sz w:val="22"/>
          <w:szCs w:val="22"/>
        </w:rPr>
        <w:t xml:space="preserve"> conducted an internal investigation into Plaintiff’s compla</w:t>
      </w:r>
      <w:r w:rsidRPr="00F9127F" w:rsidR="00056143">
        <w:rPr>
          <w:sz w:val="22"/>
          <w:szCs w:val="22"/>
        </w:rPr>
        <w:t xml:space="preserve">ints. </w:t>
      </w:r>
      <w:r w:rsidRPr="00F9127F">
        <w:rPr>
          <w:sz w:val="22"/>
          <w:szCs w:val="22"/>
        </w:rPr>
        <w:t xml:space="preserve">Later that same week, on February 21, 2013, Plaintiff was disciplined for speaking inappropriately to </w:t>
      </w:r>
      <w:r w:rsidRPr="00F9127F" w:rsidR="001C7BDF">
        <w:rPr>
          <w:sz w:val="22"/>
          <w:szCs w:val="22"/>
        </w:rPr>
        <w:t>her supervisor</w:t>
      </w:r>
      <w:r w:rsidRPr="00F9127F">
        <w:rPr>
          <w:sz w:val="22"/>
          <w:szCs w:val="22"/>
        </w:rPr>
        <w:t>. Just a few days later, Plaintiff worked the week</w:t>
      </w:r>
      <w:r w:rsidRPr="00F9127F" w:rsidR="0095565F">
        <w:rPr>
          <w:sz w:val="22"/>
          <w:szCs w:val="22"/>
        </w:rPr>
        <w:t xml:space="preserve">end of February 22-23, </w:t>
      </w:r>
      <w:r w:rsidRPr="00F9127F">
        <w:rPr>
          <w:sz w:val="22"/>
          <w:szCs w:val="22"/>
        </w:rPr>
        <w:t xml:space="preserve">when confidential emails and other documents disappeared from a folder in Plaintiff’s supervisor’s filing cabinet. </w:t>
      </w:r>
    </w:p>
    <w:p w:rsidRPr="00F9127F" w:rsidR="009B48BA" w:rsidRDefault="009B48BA">
      <w:pPr>
        <w:rPr>
          <w:sz w:val="22"/>
          <w:szCs w:val="22"/>
        </w:rPr>
      </w:pPr>
    </w:p>
    <w:p w:rsidRPr="00F9127F" w:rsidR="005C6DD1" w:rsidRDefault="009B48BA">
      <w:pPr>
        <w:rPr>
          <w:sz w:val="22"/>
          <w:szCs w:val="22"/>
        </w:rPr>
      </w:pPr>
      <w:r w:rsidRPr="00F9127F">
        <w:rPr>
          <w:sz w:val="22"/>
          <w:szCs w:val="22"/>
        </w:rPr>
        <w:t xml:space="preserve">Plaintiff went out on FMLA leave for a month beginning February 26, 2013. While on FMLA leave, on March 18, 2013, Plaintiff had a follow-up meeting with HR </w:t>
      </w:r>
      <w:r w:rsidRPr="00F9127F" w:rsidR="001C7BDF">
        <w:rPr>
          <w:sz w:val="22"/>
          <w:szCs w:val="22"/>
        </w:rPr>
        <w:t>to discuss</w:t>
      </w:r>
      <w:r w:rsidRPr="00F9127F">
        <w:rPr>
          <w:sz w:val="22"/>
          <w:szCs w:val="22"/>
        </w:rPr>
        <w:t xml:space="preserve"> the </w:t>
      </w:r>
      <w:r w:rsidRPr="00F9127F" w:rsidR="002815F9">
        <w:rPr>
          <w:sz w:val="22"/>
          <w:szCs w:val="22"/>
        </w:rPr>
        <w:t>results of the internal investigation into her complaints</w:t>
      </w:r>
      <w:r w:rsidRPr="00F9127F">
        <w:rPr>
          <w:sz w:val="22"/>
          <w:szCs w:val="22"/>
        </w:rPr>
        <w:t xml:space="preserve">. </w:t>
      </w:r>
      <w:r w:rsidRPr="00F9127F" w:rsidR="0095565F">
        <w:rPr>
          <w:sz w:val="22"/>
          <w:szCs w:val="22"/>
        </w:rPr>
        <w:t xml:space="preserve"> </w:t>
      </w:r>
      <w:r w:rsidRPr="00F9127F" w:rsidR="001C7BDF">
        <w:rPr>
          <w:sz w:val="22"/>
          <w:szCs w:val="22"/>
        </w:rPr>
        <w:t>At this meeting,</w:t>
      </w:r>
      <w:r w:rsidRPr="00F9127F" w:rsidR="002815F9">
        <w:rPr>
          <w:sz w:val="22"/>
          <w:szCs w:val="22"/>
        </w:rPr>
        <w:t xml:space="preserve"> Plaintiff produced print outs of three confidential emails she claimed substantiated her claim that her supervisors conspired to interfere with her FMLA leave. </w:t>
      </w:r>
      <w:r w:rsidRPr="00F9127F" w:rsidR="0095565F">
        <w:rPr>
          <w:sz w:val="22"/>
          <w:szCs w:val="22"/>
        </w:rPr>
        <w:t xml:space="preserve"> </w:t>
      </w:r>
      <w:r w:rsidRPr="00F9127F" w:rsidR="002815F9">
        <w:rPr>
          <w:sz w:val="22"/>
          <w:szCs w:val="22"/>
        </w:rPr>
        <w:t xml:space="preserve">However, these confidential emails were later revealed to have been among the documents taken from Plaintiff’s supervisor’s office on or around the weekend of February 22-23. An </w:t>
      </w:r>
      <w:r w:rsidRPr="00F9127F" w:rsidR="00737513">
        <w:rPr>
          <w:sz w:val="22"/>
          <w:szCs w:val="22"/>
        </w:rPr>
        <w:t>internal investigation</w:t>
      </w:r>
      <w:r w:rsidRPr="00F9127F" w:rsidR="002815F9">
        <w:rPr>
          <w:sz w:val="22"/>
          <w:szCs w:val="22"/>
        </w:rPr>
        <w:t xml:space="preserve"> </w:t>
      </w:r>
      <w:r w:rsidRPr="00F9127F" w:rsidR="00737513">
        <w:rPr>
          <w:sz w:val="22"/>
          <w:szCs w:val="22"/>
        </w:rPr>
        <w:t>into Plaintiff’s poss</w:t>
      </w:r>
      <w:r w:rsidRPr="00F9127F" w:rsidR="001C7BDF">
        <w:rPr>
          <w:sz w:val="22"/>
          <w:szCs w:val="22"/>
        </w:rPr>
        <w:t>ession of those emails followed</w:t>
      </w:r>
      <w:r w:rsidRPr="00F9127F" w:rsidR="00737513">
        <w:rPr>
          <w:sz w:val="22"/>
          <w:szCs w:val="22"/>
        </w:rPr>
        <w:t xml:space="preserve">. </w:t>
      </w:r>
      <w:r w:rsidRPr="00F9127F" w:rsidR="0095565F">
        <w:rPr>
          <w:sz w:val="22"/>
          <w:szCs w:val="22"/>
        </w:rPr>
        <w:t xml:space="preserve"> </w:t>
      </w:r>
      <w:r w:rsidRPr="00F9127F" w:rsidR="0092751C">
        <w:rPr>
          <w:sz w:val="22"/>
          <w:szCs w:val="22"/>
        </w:rPr>
        <w:t>Defendant</w:t>
      </w:r>
      <w:r w:rsidRPr="00F9127F" w:rsidR="005C6DD1">
        <w:rPr>
          <w:sz w:val="22"/>
          <w:szCs w:val="22"/>
        </w:rPr>
        <w:t>’</w:t>
      </w:r>
      <w:r w:rsidRPr="00F9127F" w:rsidR="0092751C">
        <w:rPr>
          <w:sz w:val="22"/>
          <w:szCs w:val="22"/>
        </w:rPr>
        <w:t>s</w:t>
      </w:r>
      <w:r w:rsidRPr="00F9127F" w:rsidR="005C6DD1">
        <w:rPr>
          <w:sz w:val="22"/>
          <w:szCs w:val="22"/>
        </w:rPr>
        <w:t xml:space="preserve"> internal investigation suggested that Plaintif</w:t>
      </w:r>
      <w:r w:rsidRPr="00F9127F" w:rsidR="0095565F">
        <w:rPr>
          <w:sz w:val="22"/>
          <w:szCs w:val="22"/>
        </w:rPr>
        <w:t xml:space="preserve">f </w:t>
      </w:r>
      <w:r w:rsidRPr="00F9127F" w:rsidR="001C7BDF">
        <w:rPr>
          <w:sz w:val="22"/>
          <w:szCs w:val="22"/>
        </w:rPr>
        <w:t xml:space="preserve">had broken into </w:t>
      </w:r>
      <w:r w:rsidRPr="00F9127F" w:rsidR="00E84D6E">
        <w:rPr>
          <w:sz w:val="22"/>
          <w:szCs w:val="22"/>
        </w:rPr>
        <w:t>her supervisor’s filing cabinet</w:t>
      </w:r>
      <w:r w:rsidRPr="00F9127F" w:rsidR="00EF4B5B">
        <w:rPr>
          <w:sz w:val="22"/>
          <w:szCs w:val="22"/>
        </w:rPr>
        <w:t>,</w:t>
      </w:r>
      <w:r w:rsidRPr="00F9127F" w:rsidR="00E84D6E">
        <w:rPr>
          <w:sz w:val="22"/>
          <w:szCs w:val="22"/>
        </w:rPr>
        <w:t xml:space="preserve"> and</w:t>
      </w:r>
      <w:r w:rsidRPr="00F9127F" w:rsidR="00660BBA">
        <w:rPr>
          <w:sz w:val="22"/>
          <w:szCs w:val="22"/>
        </w:rPr>
        <w:t xml:space="preserve"> </w:t>
      </w:r>
      <w:r w:rsidRPr="00F9127F" w:rsidR="00D32684">
        <w:rPr>
          <w:sz w:val="22"/>
          <w:szCs w:val="22"/>
        </w:rPr>
        <w:t xml:space="preserve">taken the entire </w:t>
      </w:r>
      <w:r w:rsidRPr="00F9127F" w:rsidR="00660BBA">
        <w:rPr>
          <w:sz w:val="22"/>
          <w:szCs w:val="22"/>
        </w:rPr>
        <w:t>folder contain</w:t>
      </w:r>
      <w:r w:rsidRPr="00F9127F" w:rsidR="00D32684">
        <w:rPr>
          <w:sz w:val="22"/>
          <w:szCs w:val="22"/>
        </w:rPr>
        <w:t xml:space="preserve">ing the </w:t>
      </w:r>
      <w:r w:rsidRPr="00F9127F" w:rsidR="00C43290">
        <w:rPr>
          <w:sz w:val="22"/>
          <w:szCs w:val="22"/>
        </w:rPr>
        <w:t>emails</w:t>
      </w:r>
      <w:r w:rsidRPr="00F9127F" w:rsidR="00D32684">
        <w:rPr>
          <w:sz w:val="22"/>
          <w:szCs w:val="22"/>
        </w:rPr>
        <w:t xml:space="preserve"> and other confidential documents concerning other lab techs. </w:t>
      </w:r>
    </w:p>
    <w:p w:rsidRPr="00F9127F" w:rsidR="00F60453" w:rsidRDefault="00F60453">
      <w:pPr>
        <w:rPr>
          <w:sz w:val="22"/>
          <w:szCs w:val="22"/>
        </w:rPr>
      </w:pPr>
    </w:p>
    <w:p w:rsidRPr="00F9127F" w:rsidR="00365D9F" w:rsidRDefault="00C91D30">
      <w:pPr>
        <w:rPr>
          <w:sz w:val="22"/>
          <w:szCs w:val="22"/>
        </w:rPr>
      </w:pPr>
      <w:r w:rsidRPr="00F9127F">
        <w:rPr>
          <w:sz w:val="22"/>
          <w:szCs w:val="22"/>
        </w:rPr>
        <w:t xml:space="preserve">Plaintiff met </w:t>
      </w:r>
      <w:r w:rsidRPr="00F9127F" w:rsidR="00660BBA">
        <w:rPr>
          <w:sz w:val="22"/>
          <w:szCs w:val="22"/>
        </w:rPr>
        <w:t xml:space="preserve">with HR </w:t>
      </w:r>
      <w:r w:rsidRPr="00F9127F">
        <w:rPr>
          <w:sz w:val="22"/>
          <w:szCs w:val="22"/>
        </w:rPr>
        <w:t>on March 28</w:t>
      </w:r>
      <w:r w:rsidRPr="00F9127F" w:rsidR="00660BBA">
        <w:rPr>
          <w:sz w:val="22"/>
          <w:szCs w:val="22"/>
        </w:rPr>
        <w:t xml:space="preserve">, 2013 </w:t>
      </w:r>
      <w:r w:rsidRPr="00F9127F">
        <w:rPr>
          <w:sz w:val="22"/>
          <w:szCs w:val="22"/>
        </w:rPr>
        <w:t xml:space="preserve">to discuss the internal investigation. </w:t>
      </w:r>
      <w:r w:rsidRPr="00F9127F" w:rsidR="00660BBA">
        <w:rPr>
          <w:sz w:val="22"/>
          <w:szCs w:val="22"/>
        </w:rPr>
        <w:t>In this initial meeting, Plaintiff r</w:t>
      </w:r>
      <w:r w:rsidRPr="00F9127F">
        <w:rPr>
          <w:sz w:val="22"/>
          <w:szCs w:val="22"/>
        </w:rPr>
        <w:t xml:space="preserve">efused to answer Defendant’s questions about how she obtained the three confidential emails that she provided to </w:t>
      </w:r>
      <w:r w:rsidRPr="00F9127F" w:rsidR="00660BBA">
        <w:rPr>
          <w:sz w:val="22"/>
          <w:szCs w:val="22"/>
        </w:rPr>
        <w:t>HR</w:t>
      </w:r>
      <w:r w:rsidRPr="00F9127F">
        <w:rPr>
          <w:sz w:val="22"/>
          <w:szCs w:val="22"/>
        </w:rPr>
        <w:t xml:space="preserve"> and what, if any, other docum</w:t>
      </w:r>
      <w:r w:rsidRPr="00F9127F" w:rsidR="00660BBA">
        <w:rPr>
          <w:sz w:val="22"/>
          <w:szCs w:val="22"/>
        </w:rPr>
        <w:t xml:space="preserve">ents she had obtained. </w:t>
      </w:r>
      <w:r w:rsidRPr="00F9127F">
        <w:rPr>
          <w:sz w:val="22"/>
          <w:szCs w:val="22"/>
        </w:rPr>
        <w:t xml:space="preserve">In </w:t>
      </w:r>
      <w:r w:rsidRPr="00F9127F" w:rsidR="00660BBA">
        <w:rPr>
          <w:sz w:val="22"/>
          <w:szCs w:val="22"/>
        </w:rPr>
        <w:t xml:space="preserve">a </w:t>
      </w:r>
      <w:r w:rsidRPr="00F9127F">
        <w:rPr>
          <w:sz w:val="22"/>
          <w:szCs w:val="22"/>
        </w:rPr>
        <w:t xml:space="preserve">follow-up meeting on or about April 3, </w:t>
      </w:r>
      <w:r w:rsidRPr="00F9127F" w:rsidR="0092751C">
        <w:rPr>
          <w:sz w:val="22"/>
          <w:szCs w:val="22"/>
        </w:rPr>
        <w:t xml:space="preserve">2013 </w:t>
      </w:r>
      <w:r w:rsidRPr="00F9127F">
        <w:rPr>
          <w:sz w:val="22"/>
          <w:szCs w:val="22"/>
        </w:rPr>
        <w:t>Plaintiff maintained that she had already answered Defendant’s questi</w:t>
      </w:r>
      <w:r w:rsidRPr="00F9127F" w:rsidR="0095565F">
        <w:rPr>
          <w:sz w:val="22"/>
          <w:szCs w:val="22"/>
        </w:rPr>
        <w:t>ons and that she would not answer</w:t>
      </w:r>
      <w:r w:rsidRPr="00F9127F">
        <w:rPr>
          <w:sz w:val="22"/>
          <w:szCs w:val="22"/>
        </w:rPr>
        <w:t xml:space="preserve"> </w:t>
      </w:r>
      <w:r w:rsidRPr="00F9127F" w:rsidR="0095565F">
        <w:rPr>
          <w:sz w:val="22"/>
          <w:szCs w:val="22"/>
        </w:rPr>
        <w:t>any further questions regarding the documents</w:t>
      </w:r>
      <w:r w:rsidRPr="00F9127F">
        <w:rPr>
          <w:sz w:val="22"/>
          <w:szCs w:val="22"/>
        </w:rPr>
        <w:t>.</w:t>
      </w:r>
      <w:r w:rsidRPr="00F9127F" w:rsidR="00F60453">
        <w:rPr>
          <w:sz w:val="22"/>
          <w:szCs w:val="22"/>
        </w:rPr>
        <w:t xml:space="preserve"> </w:t>
      </w:r>
      <w:r w:rsidRPr="00F9127F" w:rsidR="0095565F">
        <w:rPr>
          <w:sz w:val="22"/>
          <w:szCs w:val="22"/>
        </w:rPr>
        <w:t xml:space="preserve"> </w:t>
      </w:r>
      <w:r w:rsidRPr="00F9127F" w:rsidR="00737513">
        <w:rPr>
          <w:sz w:val="22"/>
          <w:szCs w:val="22"/>
        </w:rPr>
        <w:t xml:space="preserve">Plaintiff </w:t>
      </w:r>
      <w:r w:rsidRPr="00F9127F" w:rsidR="00EF4B5B">
        <w:rPr>
          <w:sz w:val="22"/>
          <w:szCs w:val="22"/>
        </w:rPr>
        <w:t>returned t</w:t>
      </w:r>
      <w:r w:rsidRPr="00F9127F" w:rsidR="00737513">
        <w:rPr>
          <w:sz w:val="22"/>
          <w:szCs w:val="22"/>
        </w:rPr>
        <w:t xml:space="preserve">o </w:t>
      </w:r>
      <w:r w:rsidRPr="00F9127F" w:rsidR="00EF4B5B">
        <w:rPr>
          <w:sz w:val="22"/>
          <w:szCs w:val="22"/>
        </w:rPr>
        <w:t xml:space="preserve">work after her FMLA leave on </w:t>
      </w:r>
      <w:r w:rsidRPr="00F9127F" w:rsidR="00737513">
        <w:rPr>
          <w:sz w:val="22"/>
          <w:szCs w:val="22"/>
        </w:rPr>
        <w:t xml:space="preserve">March 26, 2013. Plaintiff was then terminated on April 4, 2013, 17 days after raising her complaint about her supervisors’ interfering with her FMLA leave during her meeting with HR, and 9 days after returning from FMLA leave. </w:t>
      </w:r>
      <w:r w:rsidRPr="00F9127F" w:rsidR="00C224EB">
        <w:rPr>
          <w:sz w:val="22"/>
          <w:szCs w:val="22"/>
        </w:rPr>
        <w:t xml:space="preserve"> Defendant</w:t>
      </w:r>
      <w:r w:rsidRPr="00F9127F" w:rsidR="00EF4B5B">
        <w:rPr>
          <w:sz w:val="22"/>
          <w:szCs w:val="22"/>
        </w:rPr>
        <w:t xml:space="preserve"> based Plaintiff’s termination on </w:t>
      </w:r>
      <w:r w:rsidRPr="00F9127F" w:rsidR="00D820B2">
        <w:rPr>
          <w:sz w:val="22"/>
          <w:szCs w:val="22"/>
        </w:rPr>
        <w:t xml:space="preserve">her </w:t>
      </w:r>
      <w:r w:rsidRPr="00F9127F" w:rsidR="002815F9">
        <w:rPr>
          <w:sz w:val="22"/>
          <w:szCs w:val="22"/>
        </w:rPr>
        <w:t xml:space="preserve">failure to cooperate with the investigation </w:t>
      </w:r>
      <w:r w:rsidRPr="00F9127F" w:rsidR="00D820B2">
        <w:rPr>
          <w:sz w:val="22"/>
          <w:szCs w:val="22"/>
        </w:rPr>
        <w:t xml:space="preserve">and her refusal to share how she had obtained possession of the confidential emails. </w:t>
      </w:r>
      <w:r w:rsidRPr="00F9127F" w:rsidR="00C224EB">
        <w:rPr>
          <w:sz w:val="22"/>
          <w:szCs w:val="22"/>
        </w:rPr>
        <w:t xml:space="preserve"> Plaintiff claimed</w:t>
      </w:r>
      <w:r w:rsidRPr="00F9127F" w:rsidR="00D820B2">
        <w:rPr>
          <w:sz w:val="22"/>
          <w:szCs w:val="22"/>
        </w:rPr>
        <w:t xml:space="preserve"> violations of the FMLA</w:t>
      </w:r>
      <w:r w:rsidRPr="00F9127F" w:rsidR="00883B34">
        <w:rPr>
          <w:sz w:val="22"/>
          <w:szCs w:val="22"/>
        </w:rPr>
        <w:t xml:space="preserve"> (Interference and Retaliation) and NJLAD (Retaliation and Failure to Accommodate).</w:t>
      </w:r>
    </w:p>
    <w:p w:rsidRPr="00F9127F" w:rsidR="002A38B5" w:rsidRDefault="002A38B5">
      <w:pPr>
        <w:rPr>
          <w:b/>
          <w:sz w:val="22"/>
          <w:szCs w:val="22"/>
          <w:u w:val="single"/>
        </w:rPr>
      </w:pPr>
    </w:p>
    <w:p w:rsidRPr="00F9127F" w:rsidR="00D820B2" w:rsidRDefault="00D820B2">
      <w:pPr>
        <w:rPr>
          <w:b/>
          <w:i/>
          <w:sz w:val="22"/>
          <w:szCs w:val="22"/>
          <w:u w:val="single"/>
        </w:rPr>
      </w:pPr>
      <w:r w:rsidRPr="00F9127F">
        <w:rPr>
          <w:b/>
          <w:sz w:val="22"/>
          <w:szCs w:val="22"/>
          <w:u w:val="single"/>
        </w:rPr>
        <w:lastRenderedPageBreak/>
        <w:t>Legal Analysis</w:t>
      </w:r>
    </w:p>
    <w:p w:rsidRPr="00F9127F" w:rsidR="00D820B2" w:rsidRDefault="00D820B2">
      <w:pPr>
        <w:rPr>
          <w:b/>
          <w:i/>
          <w:sz w:val="22"/>
          <w:szCs w:val="22"/>
        </w:rPr>
      </w:pPr>
    </w:p>
    <w:p w:rsidRPr="00F9127F" w:rsidR="00D820B2" w:rsidRDefault="005854BF">
      <w:pPr>
        <w:rPr>
          <w:b/>
          <w:i/>
          <w:sz w:val="22"/>
          <w:szCs w:val="22"/>
        </w:rPr>
      </w:pPr>
      <w:r w:rsidRPr="00F9127F">
        <w:rPr>
          <w:b/>
          <w:i/>
          <w:sz w:val="22"/>
          <w:szCs w:val="22"/>
        </w:rPr>
        <w:t>D</w:t>
      </w:r>
      <w:r w:rsidRPr="00F9127F" w:rsidR="00C224EB">
        <w:rPr>
          <w:b/>
          <w:i/>
          <w:sz w:val="22"/>
          <w:szCs w:val="22"/>
        </w:rPr>
        <w:t>id</w:t>
      </w:r>
      <w:r w:rsidRPr="00F9127F">
        <w:rPr>
          <w:b/>
          <w:i/>
          <w:sz w:val="22"/>
          <w:szCs w:val="22"/>
        </w:rPr>
        <w:t xml:space="preserve"> the </w:t>
      </w:r>
      <w:r w:rsidRPr="00F9127F" w:rsidR="00C224EB">
        <w:rPr>
          <w:b/>
          <w:i/>
          <w:sz w:val="22"/>
          <w:szCs w:val="22"/>
        </w:rPr>
        <w:t>employer interfere</w:t>
      </w:r>
      <w:r w:rsidRPr="00F9127F">
        <w:rPr>
          <w:b/>
          <w:i/>
          <w:sz w:val="22"/>
          <w:szCs w:val="22"/>
        </w:rPr>
        <w:t xml:space="preserve"> with the </w:t>
      </w:r>
      <w:r w:rsidRPr="00F9127F" w:rsidR="00C224EB">
        <w:rPr>
          <w:b/>
          <w:i/>
          <w:sz w:val="22"/>
          <w:szCs w:val="22"/>
        </w:rPr>
        <w:t xml:space="preserve">Plaintiff’s </w:t>
      </w:r>
      <w:r w:rsidRPr="00F9127F">
        <w:rPr>
          <w:b/>
          <w:i/>
          <w:sz w:val="22"/>
          <w:szCs w:val="22"/>
        </w:rPr>
        <w:t>FMLA</w:t>
      </w:r>
      <w:r w:rsidRPr="00F9127F" w:rsidR="00C224EB">
        <w:rPr>
          <w:b/>
          <w:i/>
          <w:sz w:val="22"/>
          <w:szCs w:val="22"/>
        </w:rPr>
        <w:t xml:space="preserve"> leave</w:t>
      </w:r>
      <w:r w:rsidRPr="00F9127F" w:rsidR="00D820B2">
        <w:rPr>
          <w:b/>
          <w:i/>
          <w:sz w:val="22"/>
          <w:szCs w:val="22"/>
        </w:rPr>
        <w:t>?</w:t>
      </w:r>
    </w:p>
    <w:p w:rsidRPr="00F9127F" w:rsidR="00D820B2" w:rsidRDefault="00D820B2">
      <w:pPr>
        <w:rPr>
          <w:b/>
          <w:i/>
          <w:sz w:val="22"/>
          <w:szCs w:val="22"/>
        </w:rPr>
      </w:pPr>
    </w:p>
    <w:p w:rsidRPr="00F9127F" w:rsidR="00883B34" w:rsidP="0095565F" w:rsidRDefault="00883B34">
      <w:pPr>
        <w:rPr>
          <w:i/>
          <w:sz w:val="22"/>
          <w:szCs w:val="22"/>
        </w:rPr>
      </w:pPr>
      <w:r w:rsidRPr="00F9127F">
        <w:rPr>
          <w:sz w:val="22"/>
          <w:szCs w:val="22"/>
        </w:rPr>
        <w:t>Here, the court found that Plaintiff was never denied a benefit to which she was entitled under the FMLA. Defendant had never denied any of P</w:t>
      </w:r>
      <w:r w:rsidRPr="00F9127F" w:rsidR="00C224EB">
        <w:rPr>
          <w:sz w:val="22"/>
          <w:szCs w:val="22"/>
        </w:rPr>
        <w:t>laintiff’s requested FMLA leave</w:t>
      </w:r>
      <w:r w:rsidRPr="00F9127F">
        <w:rPr>
          <w:sz w:val="22"/>
          <w:szCs w:val="22"/>
        </w:rPr>
        <w:t>, and Defendant had fully complied with all work restrict</w:t>
      </w:r>
      <w:r w:rsidRPr="00F9127F" w:rsidR="00EA46CC">
        <w:rPr>
          <w:sz w:val="22"/>
          <w:szCs w:val="22"/>
        </w:rPr>
        <w:t>ion</w:t>
      </w:r>
      <w:r w:rsidRPr="00F9127F">
        <w:rPr>
          <w:sz w:val="22"/>
          <w:szCs w:val="22"/>
        </w:rPr>
        <w:t xml:space="preserve">s imposed by Plaintiff’s doctors upon her return from FMLA leave. </w:t>
      </w:r>
    </w:p>
    <w:p w:rsidRPr="00F9127F" w:rsidR="0095565F" w:rsidP="0095565F" w:rsidRDefault="0095565F">
      <w:pPr>
        <w:rPr>
          <w:sz w:val="22"/>
          <w:szCs w:val="22"/>
        </w:rPr>
      </w:pPr>
    </w:p>
    <w:p w:rsidRPr="00F9127F" w:rsidR="00365D9F" w:rsidRDefault="005854BF">
      <w:pPr>
        <w:rPr>
          <w:b/>
          <w:i/>
          <w:sz w:val="22"/>
          <w:szCs w:val="22"/>
        </w:rPr>
      </w:pPr>
      <w:r w:rsidRPr="00F9127F">
        <w:rPr>
          <w:b/>
          <w:i/>
          <w:sz w:val="22"/>
          <w:szCs w:val="22"/>
        </w:rPr>
        <w:t>Did the employer retaliate agains</w:t>
      </w:r>
      <w:r w:rsidRPr="00F9127F" w:rsidR="00365D9F">
        <w:rPr>
          <w:b/>
          <w:i/>
          <w:sz w:val="22"/>
          <w:szCs w:val="22"/>
        </w:rPr>
        <w:t>t the employee for taking FMLA?</w:t>
      </w:r>
    </w:p>
    <w:p w:rsidRPr="00F9127F" w:rsidR="002815F9" w:rsidRDefault="002815F9">
      <w:pPr>
        <w:rPr>
          <w:b/>
          <w:i/>
          <w:sz w:val="22"/>
          <w:szCs w:val="22"/>
        </w:rPr>
      </w:pPr>
    </w:p>
    <w:p w:rsidRPr="00F9127F" w:rsidR="00786995" w:rsidP="00786995" w:rsidRDefault="00C43290">
      <w:pPr>
        <w:rPr>
          <w:i/>
          <w:sz w:val="22"/>
          <w:szCs w:val="22"/>
        </w:rPr>
      </w:pPr>
      <w:r w:rsidRPr="00F9127F">
        <w:rPr>
          <w:sz w:val="22"/>
          <w:szCs w:val="22"/>
        </w:rPr>
        <w:t xml:space="preserve">The </w:t>
      </w:r>
      <w:r w:rsidRPr="00F9127F" w:rsidR="00C224EB">
        <w:rPr>
          <w:sz w:val="22"/>
          <w:szCs w:val="22"/>
        </w:rPr>
        <w:t xml:space="preserve">court found that the employer </w:t>
      </w:r>
      <w:r w:rsidRPr="00F9127F" w:rsidR="0095565F">
        <w:rPr>
          <w:sz w:val="22"/>
          <w:szCs w:val="22"/>
        </w:rPr>
        <w:t>met its</w:t>
      </w:r>
      <w:r w:rsidRPr="00F9127F">
        <w:rPr>
          <w:sz w:val="22"/>
          <w:szCs w:val="22"/>
        </w:rPr>
        <w:t xml:space="preserve"> burden of setting forth a legitimate business reaso</w:t>
      </w:r>
      <w:r w:rsidRPr="00F9127F" w:rsidR="0095565F">
        <w:rPr>
          <w:sz w:val="22"/>
          <w:szCs w:val="22"/>
        </w:rPr>
        <w:t>n for the termination, given the employee’s</w:t>
      </w:r>
      <w:r w:rsidRPr="00F9127F">
        <w:rPr>
          <w:sz w:val="22"/>
          <w:szCs w:val="22"/>
        </w:rPr>
        <w:t xml:space="preserve"> failure to cooperate with the internal investigation regarding her possible stealing of confidential documents. </w:t>
      </w:r>
      <w:r w:rsidRPr="00F9127F" w:rsidR="0095565F">
        <w:rPr>
          <w:sz w:val="22"/>
          <w:szCs w:val="22"/>
        </w:rPr>
        <w:t xml:space="preserve"> </w:t>
      </w:r>
      <w:r w:rsidRPr="00F9127F" w:rsidR="00786995">
        <w:rPr>
          <w:sz w:val="22"/>
          <w:szCs w:val="22"/>
        </w:rPr>
        <w:t xml:space="preserve">There was also no direct evidence of retaliation because Plaintiff could not prove </w:t>
      </w:r>
      <w:r w:rsidRPr="00F9127F" w:rsidR="0092751C">
        <w:rPr>
          <w:sz w:val="22"/>
          <w:szCs w:val="22"/>
        </w:rPr>
        <w:t>that Defendant</w:t>
      </w:r>
      <w:r w:rsidRPr="00F9127F" w:rsidR="00786995">
        <w:rPr>
          <w:sz w:val="22"/>
          <w:szCs w:val="22"/>
        </w:rPr>
        <w:t xml:space="preserve"> could have acted against Plaintiff on the same basis at some earlier time, but failed to do so until after Plaintiff engaged in protected activity.  </w:t>
      </w:r>
    </w:p>
    <w:p w:rsidRPr="00F9127F" w:rsidR="0095565F" w:rsidP="00786995" w:rsidRDefault="0095565F">
      <w:pPr>
        <w:rPr>
          <w:sz w:val="22"/>
          <w:szCs w:val="22"/>
        </w:rPr>
      </w:pPr>
    </w:p>
    <w:p w:rsidRPr="00F9127F" w:rsidR="005854BF" w:rsidRDefault="00673CB0">
      <w:pPr>
        <w:rPr>
          <w:b/>
          <w:i/>
          <w:sz w:val="22"/>
          <w:szCs w:val="22"/>
        </w:rPr>
      </w:pPr>
      <w:r w:rsidRPr="00F9127F">
        <w:rPr>
          <w:b/>
          <w:i/>
          <w:sz w:val="22"/>
          <w:szCs w:val="22"/>
        </w:rPr>
        <w:t>Was there retaliation under the NJLAD?</w:t>
      </w:r>
    </w:p>
    <w:p w:rsidRPr="00F9127F" w:rsidR="00673CB0" w:rsidRDefault="00673CB0">
      <w:pPr>
        <w:rPr>
          <w:b/>
          <w:i/>
          <w:sz w:val="22"/>
          <w:szCs w:val="22"/>
        </w:rPr>
      </w:pPr>
    </w:p>
    <w:p w:rsidRPr="00F9127F" w:rsidR="00786995" w:rsidRDefault="0095565F">
      <w:pPr>
        <w:rPr>
          <w:sz w:val="22"/>
          <w:szCs w:val="22"/>
        </w:rPr>
      </w:pPr>
      <w:r w:rsidRPr="00F9127F">
        <w:rPr>
          <w:sz w:val="22"/>
          <w:szCs w:val="22"/>
        </w:rPr>
        <w:t>Plaintiff asserted that the taking of the</w:t>
      </w:r>
      <w:r w:rsidRPr="00F9127F" w:rsidR="008C73DD">
        <w:rPr>
          <w:sz w:val="22"/>
          <w:szCs w:val="22"/>
        </w:rPr>
        <w:t xml:space="preserve"> documents</w:t>
      </w:r>
      <w:r w:rsidRPr="00F9127F">
        <w:rPr>
          <w:sz w:val="22"/>
          <w:szCs w:val="22"/>
        </w:rPr>
        <w:t xml:space="preserve"> </w:t>
      </w:r>
      <w:r w:rsidRPr="00F9127F" w:rsidR="008C73DD">
        <w:rPr>
          <w:sz w:val="22"/>
          <w:szCs w:val="22"/>
        </w:rPr>
        <w:t xml:space="preserve">was protected under the NJLAD. </w:t>
      </w:r>
      <w:r w:rsidRPr="00F9127F">
        <w:rPr>
          <w:sz w:val="22"/>
          <w:szCs w:val="22"/>
        </w:rPr>
        <w:t xml:space="preserve"> </w:t>
      </w:r>
      <w:r w:rsidRPr="00F9127F" w:rsidR="008C73DD">
        <w:rPr>
          <w:sz w:val="22"/>
          <w:szCs w:val="22"/>
        </w:rPr>
        <w:t>In determining whether a plaintiff’s taking of confidential documen</w:t>
      </w:r>
      <w:r w:rsidRPr="00F9127F">
        <w:rPr>
          <w:sz w:val="22"/>
          <w:szCs w:val="22"/>
        </w:rPr>
        <w:t xml:space="preserve">ts is protected under the NJLAD, </w:t>
      </w:r>
      <w:r w:rsidRPr="00F9127F" w:rsidR="008C73DD">
        <w:rPr>
          <w:sz w:val="22"/>
          <w:szCs w:val="22"/>
        </w:rPr>
        <w:t xml:space="preserve">courts </w:t>
      </w:r>
      <w:r w:rsidRPr="00F9127F" w:rsidR="00786995">
        <w:rPr>
          <w:sz w:val="22"/>
          <w:szCs w:val="22"/>
        </w:rPr>
        <w:t>consider</w:t>
      </w:r>
      <w:r w:rsidRPr="00F9127F" w:rsidR="008C73DD">
        <w:rPr>
          <w:sz w:val="22"/>
          <w:szCs w:val="22"/>
        </w:rPr>
        <w:t xml:space="preserve"> a number of factors to balance the employer’s </w:t>
      </w:r>
      <w:r w:rsidRPr="00F9127F" w:rsidR="00C224EB">
        <w:rPr>
          <w:sz w:val="22"/>
          <w:szCs w:val="22"/>
        </w:rPr>
        <w:t>confidentiality interest</w:t>
      </w:r>
      <w:r w:rsidRPr="00F9127F">
        <w:rPr>
          <w:sz w:val="22"/>
          <w:szCs w:val="22"/>
        </w:rPr>
        <w:t>,</w:t>
      </w:r>
      <w:r w:rsidRPr="00F9127F" w:rsidR="008C73DD">
        <w:rPr>
          <w:sz w:val="22"/>
          <w:szCs w:val="22"/>
        </w:rPr>
        <w:t xml:space="preserve"> and the plaintiff’s interest in utilizi</w:t>
      </w:r>
      <w:r w:rsidRPr="00F9127F">
        <w:rPr>
          <w:sz w:val="22"/>
          <w:szCs w:val="22"/>
        </w:rPr>
        <w:t>ng these documents to prove he</w:t>
      </w:r>
      <w:r w:rsidRPr="00F9127F" w:rsidR="008C73DD">
        <w:rPr>
          <w:sz w:val="22"/>
          <w:szCs w:val="22"/>
        </w:rPr>
        <w:t xml:space="preserve">r NJLAD claim. </w:t>
      </w:r>
      <w:r w:rsidRPr="00F9127F">
        <w:rPr>
          <w:sz w:val="22"/>
          <w:szCs w:val="22"/>
        </w:rPr>
        <w:t xml:space="preserve"> </w:t>
      </w:r>
      <w:r w:rsidRPr="00F9127F" w:rsidR="008C73DD">
        <w:rPr>
          <w:sz w:val="22"/>
          <w:szCs w:val="22"/>
        </w:rPr>
        <w:t xml:space="preserve">Ultimately, the court found the taking of the </w:t>
      </w:r>
      <w:r w:rsidRPr="00F9127F" w:rsidR="00786995">
        <w:rPr>
          <w:sz w:val="22"/>
          <w:szCs w:val="22"/>
        </w:rPr>
        <w:t>documents</w:t>
      </w:r>
      <w:r w:rsidRPr="00F9127F" w:rsidR="008C73DD">
        <w:rPr>
          <w:sz w:val="22"/>
          <w:szCs w:val="22"/>
        </w:rPr>
        <w:t xml:space="preserve"> was not protected by the NJLAD, bec</w:t>
      </w:r>
      <w:r w:rsidRPr="00F9127F" w:rsidR="00C224EB">
        <w:rPr>
          <w:sz w:val="22"/>
          <w:szCs w:val="22"/>
        </w:rPr>
        <w:t>ause some of the documents pertained to other employees</w:t>
      </w:r>
      <w:r w:rsidRPr="00F9127F" w:rsidR="008C73DD">
        <w:rPr>
          <w:sz w:val="22"/>
          <w:szCs w:val="22"/>
        </w:rPr>
        <w:t>, which were not relev</w:t>
      </w:r>
      <w:r w:rsidRPr="00F9127F">
        <w:rPr>
          <w:sz w:val="22"/>
          <w:szCs w:val="22"/>
        </w:rPr>
        <w:t xml:space="preserve">ant to </w:t>
      </w:r>
      <w:r w:rsidRPr="00F9127F" w:rsidR="00C224EB">
        <w:rPr>
          <w:sz w:val="22"/>
          <w:szCs w:val="22"/>
        </w:rPr>
        <w:t xml:space="preserve">the </w:t>
      </w:r>
      <w:r w:rsidRPr="00F9127F">
        <w:rPr>
          <w:sz w:val="22"/>
          <w:szCs w:val="22"/>
        </w:rPr>
        <w:t>Plaintiff’s case</w:t>
      </w:r>
      <w:r w:rsidRPr="00F9127F" w:rsidR="00C224EB">
        <w:rPr>
          <w:sz w:val="22"/>
          <w:szCs w:val="22"/>
        </w:rPr>
        <w:t>,</w:t>
      </w:r>
      <w:r w:rsidRPr="00F9127F">
        <w:rPr>
          <w:sz w:val="22"/>
          <w:szCs w:val="22"/>
        </w:rPr>
        <w:t xml:space="preserve"> and had</w:t>
      </w:r>
      <w:r w:rsidRPr="00F9127F" w:rsidR="008C73DD">
        <w:rPr>
          <w:sz w:val="22"/>
          <w:szCs w:val="22"/>
        </w:rPr>
        <w:t xml:space="preserve"> not been returned. </w:t>
      </w:r>
      <w:r w:rsidRPr="00F9127F" w:rsidR="00C224EB">
        <w:rPr>
          <w:sz w:val="22"/>
          <w:szCs w:val="22"/>
        </w:rPr>
        <w:t xml:space="preserve"> The employer’s interest in protecting </w:t>
      </w:r>
      <w:r w:rsidRPr="00F9127F" w:rsidR="008C73DD">
        <w:rPr>
          <w:sz w:val="22"/>
          <w:szCs w:val="22"/>
        </w:rPr>
        <w:t>confidenti</w:t>
      </w:r>
      <w:r w:rsidRPr="00F9127F" w:rsidR="00C224EB">
        <w:rPr>
          <w:sz w:val="22"/>
          <w:szCs w:val="22"/>
        </w:rPr>
        <w:t xml:space="preserve">al information concerning its employees </w:t>
      </w:r>
      <w:r w:rsidRPr="00F9127F" w:rsidR="008C73DD">
        <w:rPr>
          <w:sz w:val="22"/>
          <w:szCs w:val="22"/>
        </w:rPr>
        <w:t xml:space="preserve">surmounted Plaintiff’s interest in utilizing the documents, as only a handful </w:t>
      </w:r>
      <w:r w:rsidRPr="00F9127F" w:rsidR="00C224EB">
        <w:rPr>
          <w:sz w:val="22"/>
          <w:szCs w:val="22"/>
        </w:rPr>
        <w:t xml:space="preserve">of the documents </w:t>
      </w:r>
      <w:r w:rsidRPr="00F9127F" w:rsidR="008C73DD">
        <w:rPr>
          <w:sz w:val="22"/>
          <w:szCs w:val="22"/>
        </w:rPr>
        <w:t>applied to her, and even those were not “smoking guns</w:t>
      </w:r>
      <w:r w:rsidRPr="00F9127F" w:rsidR="00786995">
        <w:rPr>
          <w:sz w:val="22"/>
          <w:szCs w:val="22"/>
        </w:rPr>
        <w:t>.</w:t>
      </w:r>
      <w:r w:rsidRPr="00F9127F" w:rsidR="0048426C">
        <w:rPr>
          <w:sz w:val="22"/>
          <w:szCs w:val="22"/>
        </w:rPr>
        <w:t xml:space="preserve">” </w:t>
      </w:r>
      <w:r w:rsidRPr="00F9127F">
        <w:rPr>
          <w:sz w:val="22"/>
          <w:szCs w:val="22"/>
        </w:rPr>
        <w:t xml:space="preserve"> </w:t>
      </w:r>
      <w:r w:rsidRPr="00F9127F" w:rsidR="00C224EB">
        <w:rPr>
          <w:sz w:val="22"/>
          <w:szCs w:val="22"/>
        </w:rPr>
        <w:t>And e</w:t>
      </w:r>
      <w:r w:rsidRPr="00F9127F" w:rsidR="00786995">
        <w:rPr>
          <w:sz w:val="22"/>
          <w:szCs w:val="22"/>
        </w:rPr>
        <w:t>v</w:t>
      </w:r>
      <w:r w:rsidRPr="00F9127F" w:rsidR="002815F9">
        <w:rPr>
          <w:sz w:val="22"/>
          <w:szCs w:val="22"/>
        </w:rPr>
        <w:t xml:space="preserve">en assuming </w:t>
      </w:r>
      <w:r w:rsidRPr="00F9127F" w:rsidR="00C224EB">
        <w:rPr>
          <w:sz w:val="22"/>
          <w:szCs w:val="22"/>
        </w:rPr>
        <w:t xml:space="preserve">the NJLAD </w:t>
      </w:r>
      <w:r w:rsidRPr="00F9127F" w:rsidR="002815F9">
        <w:rPr>
          <w:sz w:val="22"/>
          <w:szCs w:val="22"/>
        </w:rPr>
        <w:t>protect</w:t>
      </w:r>
      <w:r w:rsidRPr="00F9127F" w:rsidR="00C224EB">
        <w:rPr>
          <w:sz w:val="22"/>
          <w:szCs w:val="22"/>
        </w:rPr>
        <w:t>ed</w:t>
      </w:r>
      <w:r w:rsidRPr="00F9127F" w:rsidR="002815F9">
        <w:rPr>
          <w:sz w:val="22"/>
          <w:szCs w:val="22"/>
        </w:rPr>
        <w:t xml:space="preserve"> Plaintiff’s taking of the confidential documents, </w:t>
      </w:r>
      <w:r w:rsidRPr="00F9127F" w:rsidR="00C224EB">
        <w:rPr>
          <w:sz w:val="22"/>
          <w:szCs w:val="22"/>
        </w:rPr>
        <w:t xml:space="preserve">the </w:t>
      </w:r>
      <w:r w:rsidRPr="00F9127F" w:rsidR="002815F9">
        <w:rPr>
          <w:sz w:val="22"/>
          <w:szCs w:val="22"/>
        </w:rPr>
        <w:t>NJLAD still would not legally entitle a plaintif</w:t>
      </w:r>
      <w:r w:rsidRPr="00F9127F" w:rsidR="00C224EB">
        <w:rPr>
          <w:sz w:val="22"/>
          <w:szCs w:val="22"/>
        </w:rPr>
        <w:t>f to conceal the manner of</w:t>
      </w:r>
      <w:r w:rsidRPr="00F9127F" w:rsidR="002815F9">
        <w:rPr>
          <w:sz w:val="22"/>
          <w:szCs w:val="22"/>
        </w:rPr>
        <w:t xml:space="preserve"> acqui</w:t>
      </w:r>
      <w:r w:rsidRPr="00F9127F" w:rsidR="00C224EB">
        <w:rPr>
          <w:sz w:val="22"/>
          <w:szCs w:val="22"/>
        </w:rPr>
        <w:t>ring the</w:t>
      </w:r>
      <w:r w:rsidRPr="00F9127F" w:rsidR="00A90E25">
        <w:rPr>
          <w:sz w:val="22"/>
          <w:szCs w:val="22"/>
        </w:rPr>
        <w:t xml:space="preserve"> documents f</w:t>
      </w:r>
      <w:r w:rsidRPr="00F9127F" w:rsidR="00C224EB">
        <w:rPr>
          <w:sz w:val="22"/>
          <w:szCs w:val="22"/>
        </w:rPr>
        <w:t xml:space="preserve">rom the </w:t>
      </w:r>
      <w:r w:rsidRPr="00F9127F" w:rsidR="002815F9">
        <w:rPr>
          <w:sz w:val="22"/>
          <w:szCs w:val="22"/>
        </w:rPr>
        <w:t xml:space="preserve">employer. </w:t>
      </w:r>
    </w:p>
    <w:p w:rsidRPr="00F9127F" w:rsidR="00786995" w:rsidRDefault="00786995">
      <w:pPr>
        <w:rPr>
          <w:sz w:val="22"/>
          <w:szCs w:val="22"/>
        </w:rPr>
      </w:pPr>
    </w:p>
    <w:p w:rsidRPr="00F9127F" w:rsidR="00786995" w:rsidRDefault="00ED3F45">
      <w:pPr>
        <w:rPr>
          <w:b/>
          <w:i/>
          <w:sz w:val="22"/>
          <w:szCs w:val="22"/>
        </w:rPr>
      </w:pPr>
      <w:r w:rsidRPr="00F9127F">
        <w:rPr>
          <w:b/>
          <w:i/>
          <w:sz w:val="22"/>
          <w:szCs w:val="22"/>
        </w:rPr>
        <w:t xml:space="preserve">Was there a NJLAD failure to accommodate? </w:t>
      </w:r>
    </w:p>
    <w:p w:rsidRPr="00F9127F" w:rsidR="00ED3F45" w:rsidRDefault="00ED3F45">
      <w:pPr>
        <w:rPr>
          <w:b/>
          <w:i/>
          <w:sz w:val="22"/>
          <w:szCs w:val="22"/>
        </w:rPr>
      </w:pPr>
    </w:p>
    <w:p w:rsidRPr="00F9127F" w:rsidR="00ED3F45" w:rsidRDefault="00C224EB">
      <w:pPr>
        <w:rPr>
          <w:sz w:val="22"/>
          <w:szCs w:val="22"/>
        </w:rPr>
      </w:pPr>
      <w:r w:rsidRPr="00F9127F">
        <w:rPr>
          <w:sz w:val="22"/>
          <w:szCs w:val="22"/>
        </w:rPr>
        <w:t xml:space="preserve">Here, </w:t>
      </w:r>
      <w:r w:rsidRPr="00F9127F" w:rsidR="00ED3F45">
        <w:rPr>
          <w:sz w:val="22"/>
          <w:szCs w:val="22"/>
        </w:rPr>
        <w:t xml:space="preserve">Plaintiff argued that the lab’s call out policy, prohibiting the leaving of voice messages, impeded her ability to access her authorized disability leave. </w:t>
      </w:r>
      <w:r w:rsidRPr="00F9127F">
        <w:rPr>
          <w:sz w:val="22"/>
          <w:szCs w:val="22"/>
        </w:rPr>
        <w:t xml:space="preserve"> </w:t>
      </w:r>
      <w:r w:rsidRPr="00F9127F" w:rsidR="00ED3F45">
        <w:rPr>
          <w:sz w:val="22"/>
          <w:szCs w:val="22"/>
        </w:rPr>
        <w:t xml:space="preserve">Plaintiff contended that in the event that no tech-in-charge or supervisor was available, she would be forced to appear to work sick. </w:t>
      </w:r>
      <w:r w:rsidRPr="00F9127F">
        <w:rPr>
          <w:sz w:val="22"/>
          <w:szCs w:val="22"/>
        </w:rPr>
        <w:t xml:space="preserve"> </w:t>
      </w:r>
      <w:r w:rsidRPr="00F9127F" w:rsidR="00ED3F45">
        <w:rPr>
          <w:sz w:val="22"/>
          <w:szCs w:val="22"/>
        </w:rPr>
        <w:t xml:space="preserve">However, the argument failed, given that the lab director had made her direct cell phone available for call outs and the employer already had existing policies and procedures that accommodated Plaintiff. </w:t>
      </w:r>
    </w:p>
    <w:p w:rsidRPr="00F9127F" w:rsidR="00ED3F45" w:rsidRDefault="00ED3F45">
      <w:pPr>
        <w:rPr>
          <w:sz w:val="22"/>
          <w:szCs w:val="22"/>
        </w:rPr>
      </w:pPr>
    </w:p>
    <w:p w:rsidRPr="00F9127F" w:rsidR="002815F9" w:rsidRDefault="00C224EB">
      <w:pPr>
        <w:rPr>
          <w:b/>
          <w:sz w:val="22"/>
          <w:szCs w:val="22"/>
          <w:u w:val="single"/>
        </w:rPr>
      </w:pPr>
      <w:r w:rsidRPr="00F9127F">
        <w:rPr>
          <w:b/>
          <w:sz w:val="22"/>
          <w:szCs w:val="22"/>
          <w:u w:val="single"/>
        </w:rPr>
        <w:t>Conclusion</w:t>
      </w:r>
    </w:p>
    <w:p w:rsidRPr="00F9127F" w:rsidR="00C224EB" w:rsidRDefault="00C224EB">
      <w:pPr>
        <w:rPr>
          <w:b/>
          <w:sz w:val="22"/>
          <w:szCs w:val="22"/>
        </w:rPr>
      </w:pPr>
    </w:p>
    <w:p w:rsidRPr="00C224EB" w:rsidR="00C224EB" w:rsidRDefault="00C224EB">
      <w:r w:rsidRPr="00F9127F">
        <w:rPr>
          <w:sz w:val="22"/>
          <w:szCs w:val="22"/>
        </w:rPr>
        <w:t>This case, again, highlights the importance of timely discipline</w:t>
      </w:r>
      <w:r w:rsidR="00F9127F">
        <w:rPr>
          <w:sz w:val="22"/>
          <w:szCs w:val="22"/>
        </w:rPr>
        <w:t xml:space="preserve"> (which was given on several occasions prior to the taking of protected leave)</w:t>
      </w:r>
      <w:r w:rsidRPr="00F9127F">
        <w:rPr>
          <w:sz w:val="22"/>
          <w:szCs w:val="22"/>
        </w:rPr>
        <w:t>, and timely investigati</w:t>
      </w:r>
      <w:bookmarkStart w:name="_GoBack" w:id="0"/>
      <w:bookmarkEnd w:id="0"/>
      <w:r w:rsidRPr="00F9127F">
        <w:rPr>
          <w:sz w:val="22"/>
          <w:szCs w:val="22"/>
        </w:rPr>
        <w:t>on of employee complaints.</w:t>
      </w:r>
      <w:r w:rsidRPr="00F9127F" w:rsidR="00F9127F">
        <w:rPr>
          <w:sz w:val="22"/>
          <w:szCs w:val="22"/>
        </w:rPr>
        <w:t xml:space="preserve">  It also stands for the proposition that while an employer needs to be careful</w:t>
      </w:r>
      <w:r w:rsidR="00F9127F">
        <w:rPr>
          <w:sz w:val="22"/>
          <w:szCs w:val="22"/>
        </w:rPr>
        <w:t xml:space="preserve"> when</w:t>
      </w:r>
      <w:r w:rsidRPr="00F9127F" w:rsidR="00F9127F">
        <w:rPr>
          <w:sz w:val="22"/>
          <w:szCs w:val="22"/>
        </w:rPr>
        <w:t xml:space="preserve"> terminating an employee on the heels of an FMLA or disability leave, such leave does not shield an employee from adverse action based upon proven misconduct.</w:t>
      </w:r>
    </w:p>
    <w:sectPr w:rsidRPr="00C224EB" w:rsidR="00C224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4EF" w:rsidP="00C814EF" w:rsidRDefault="00C814EF">
      <w:r>
        <w:separator/>
      </w:r>
    </w:p>
  </w:endnote>
  <w:endnote w:type="continuationSeparator" w:id="0">
    <w:p w:rsidR="00C814EF" w:rsidP="00C814EF" w:rsidRDefault="00C8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name="_iDocIDFieldb7a590d9-94be-44c7-8c9e-c2ec" w:id="1"/>
  <w:p w:rsidR="00F9127F" w:rsidRDefault="00F9127F">
    <w:pPr>
      <w:pStyle w:val="DocID"/>
    </w:pPr>
    <w:r>
      <w:rPr>
        <w:noProof/>
      </w:rPr>
      <w:t>49546966.v1-6/12/17</w:t>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87582" w:rsidR="00F9127F" w:rsidP="00B87582" w:rsidRDefault="00F9127F">
    <w:pPr>
      <w:pStyle w:val="DocID"/>
      <w:rPr>
        <w:i/>
        <w:sz w:val="22"/>
        <w:szCs w:val="22"/>
      </w:rPr>
    </w:pPr>
    <w:bookmarkStart w:name="_iDocIDField694967e5-261c-4644-a98d-4ad9" w:id="2"/>
    <w:r w:rsidRPr="00D820B2">
      <w:rPr>
        <w:i/>
        <w:sz w:val="22"/>
        <w:szCs w:val="22"/>
      </w:rPr>
      <w:t>The information provided here is general and is not intended as legal advice or a substitute for legal advice. If you have any questions regarding this update, please do not hesitate to contact me.</w:t>
    </w:r>
    <w:bookmarkEnd w:id="2"/>
  </w:p>
  <w:bookmarkStart w:name="_iDocIDField7cf59e09-5dde-4fe0-a69c-42ef" w:id="3"/>
  <w:p w:rsidR="00F9127F" w:rsidRDefault="00F9127F">
    <w:pPr>
      <w:pStyle w:val="DocID"/>
    </w:pPr>
    <w:r>
      <w:rPr>
        <w:noProof/>
      </w:rPr>
      <w:t>49546966.v1-6/12/17</w:t>
    </w:r>
    <w:bookmarkEnd w:id="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name="_iDocIDFieldfaf36ef3-3157-4887-9f05-6a3b" w:id="4"/>
  <w:p w:rsidR="00F9127F" w:rsidRDefault="00F9127F">
    <w:pPr>
      <w:pStyle w:val="DocID"/>
    </w:pPr>
    <w:r>
      <w:rPr>
        <w:noProof/>
      </w:rPr>
      <w:t>49546966.v1-6/12/17</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4EF" w:rsidP="00C814EF" w:rsidRDefault="00C814EF">
      <w:r>
        <w:separator/>
      </w:r>
    </w:p>
  </w:footnote>
  <w:footnote w:type="continuationSeparator" w:id="0">
    <w:p w:rsidR="00C814EF" w:rsidP="00C814EF" w:rsidRDefault="00C81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4EF" w:rsidRDefault="00C81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4EF" w:rsidRDefault="00C814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4EF" w:rsidRDefault="00C814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A1"/>
    <w:rsid w:val="000366EB"/>
    <w:rsid w:val="00056143"/>
    <w:rsid w:val="000C0D7A"/>
    <w:rsid w:val="00162745"/>
    <w:rsid w:val="00190F0A"/>
    <w:rsid w:val="001C7BDF"/>
    <w:rsid w:val="001D3C5E"/>
    <w:rsid w:val="002815F9"/>
    <w:rsid w:val="002A38B5"/>
    <w:rsid w:val="002D522E"/>
    <w:rsid w:val="00347DA1"/>
    <w:rsid w:val="00365D9F"/>
    <w:rsid w:val="0048426C"/>
    <w:rsid w:val="005854BF"/>
    <w:rsid w:val="005C6DD1"/>
    <w:rsid w:val="006000A9"/>
    <w:rsid w:val="00660BBA"/>
    <w:rsid w:val="00666207"/>
    <w:rsid w:val="00673CB0"/>
    <w:rsid w:val="006A20E4"/>
    <w:rsid w:val="006A7C8A"/>
    <w:rsid w:val="00737513"/>
    <w:rsid w:val="00786995"/>
    <w:rsid w:val="00794C08"/>
    <w:rsid w:val="007B016E"/>
    <w:rsid w:val="00883B34"/>
    <w:rsid w:val="008C73DD"/>
    <w:rsid w:val="0092751C"/>
    <w:rsid w:val="0095565F"/>
    <w:rsid w:val="009B48BA"/>
    <w:rsid w:val="00A90E25"/>
    <w:rsid w:val="00AF3DAB"/>
    <w:rsid w:val="00C224EB"/>
    <w:rsid w:val="00C43290"/>
    <w:rsid w:val="00C814EF"/>
    <w:rsid w:val="00C91D30"/>
    <w:rsid w:val="00CE48B1"/>
    <w:rsid w:val="00CF4F65"/>
    <w:rsid w:val="00D320F9"/>
    <w:rsid w:val="00D32684"/>
    <w:rsid w:val="00D45930"/>
    <w:rsid w:val="00D80790"/>
    <w:rsid w:val="00D820B2"/>
    <w:rsid w:val="00DA4C2E"/>
    <w:rsid w:val="00E60FF5"/>
    <w:rsid w:val="00E84D6E"/>
    <w:rsid w:val="00EA46CC"/>
    <w:rsid w:val="00ED3F45"/>
    <w:rsid w:val="00EF4B5B"/>
    <w:rsid w:val="00F60453"/>
    <w:rsid w:val="00F9127F"/>
    <w:rsid w:val="00FC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C230"/>
  <w15:chartTrackingRefBased/>
  <w15:docId w15:val="{CD306065-93D5-4461-9E56-30E6BDB5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47DA1"/>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347DA1"/>
    <w:rPr>
      <w:color w:val="0000FF"/>
      <w:u w:val="single"/>
    </w:rPr>
  </w:style>
  <w:style w:type="paragraph" w:styleId="DocID" w:customStyle="1">
    <w:name w:val="DocID"/>
    <w:basedOn w:val="Footer"/>
    <w:next w:val="Footer"/>
    <w:link w:val="DocIDChar"/>
    <w:rsid w:val="00C814EF"/>
    <w:pPr>
      <w:tabs>
        <w:tab w:val="clear" w:pos="4680"/>
        <w:tab w:val="clear" w:pos="9360"/>
      </w:tabs>
    </w:pPr>
    <w:rPr>
      <w:sz w:val="18"/>
      <w:szCs w:val="20"/>
    </w:rPr>
  </w:style>
  <w:style w:type="character" w:styleId="DocIDChar" w:customStyle="1">
    <w:name w:val="DocID Char"/>
    <w:basedOn w:val="DefaultParagraphFont"/>
    <w:link w:val="DocID"/>
    <w:rsid w:val="00C814EF"/>
    <w:rPr>
      <w:rFonts w:ascii="Times New Roman" w:hAnsi="Times New Roman" w:eastAsia="Times New Roman" w:cs="Times New Roman"/>
      <w:sz w:val="18"/>
      <w:szCs w:val="20"/>
      <w:lang w:val="en-US" w:eastAsia="en-US"/>
    </w:rPr>
  </w:style>
  <w:style w:type="paragraph" w:styleId="Footer">
    <w:name w:val="footer"/>
    <w:basedOn w:val="Normal"/>
    <w:link w:val="FooterChar"/>
    <w:uiPriority w:val="99"/>
    <w:unhideWhenUsed/>
    <w:rsid w:val="00C814EF"/>
    <w:pPr>
      <w:tabs>
        <w:tab w:val="center" w:pos="4680"/>
        <w:tab w:val="right" w:pos="9360"/>
      </w:tabs>
    </w:pPr>
  </w:style>
  <w:style w:type="character" w:styleId="FooterChar" w:customStyle="1">
    <w:name w:val="Footer Char"/>
    <w:basedOn w:val="DefaultParagraphFont"/>
    <w:link w:val="Footer"/>
    <w:uiPriority w:val="99"/>
    <w:rsid w:val="00C814EF"/>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C814EF"/>
    <w:pPr>
      <w:tabs>
        <w:tab w:val="center" w:pos="4680"/>
        <w:tab w:val="right" w:pos="9360"/>
      </w:tabs>
    </w:pPr>
  </w:style>
  <w:style w:type="character" w:styleId="HeaderChar" w:customStyle="1">
    <w:name w:val="Header Char"/>
    <w:basedOn w:val="DefaultParagraphFont"/>
    <w:link w:val="Header"/>
    <w:uiPriority w:val="99"/>
    <w:rsid w:val="00C814EF"/>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ED3F4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D3F45"/>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siminoff@foxrothschild.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2</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1901-01-01T05:00:00Z</dcterms:created>
  <dcterms:modified xsi:type="dcterms:W3CDTF">2017-06-12T04:02:00Z</dcterms:modified>
</cp:coreProperties>
</file>

<file path=docProps/custom.xml><?xml version="1.0" encoding="utf-8"?>
<Properties xmlns="http://schemas.openxmlformats.org/officeDocument/2006/custom-properties" xmlns:vt="http://schemas.openxmlformats.org/officeDocument/2006/docPropsVTypes">
</Properties>
</file>